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3F0D">
        <w:rPr>
          <w:rFonts w:ascii="Times New Roman" w:hAnsi="Times New Roman" w:cs="Times New Roman"/>
          <w:sz w:val="24"/>
          <w:szCs w:val="24"/>
        </w:rPr>
        <w:t>ORDENANZA XVI - N° 75</w:t>
      </w: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ANEXO ÚNICO</w:t>
      </w:r>
    </w:p>
    <w:p w:rsid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F0D">
        <w:rPr>
          <w:rFonts w:ascii="Times New Roman" w:hAnsi="Times New Roman" w:cs="Times New Roman"/>
          <w:b/>
          <w:sz w:val="24"/>
          <w:szCs w:val="24"/>
        </w:rPr>
        <w:t>LEY XVIII – N° 37</w:t>
      </w: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REDUCTORES DE VELOCIDAD</w:t>
      </w: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CAPÍTULO I</w:t>
      </w: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Es objeto de la presente Ley establecer las condiciones adecuadas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instalación, en el ámbito provincial, de reductores de velocidad coactivos, conocidos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las denominaciones de controlador electrónico con sistema tutor, radares tipo láser,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controladores de velocidad pasivos tipo tótem y lomo de burro, resaltos y lomadas.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Son Autoridades de Aplicación de la presente Ley el Ministerio de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Gobierno y la Dirección Provincial de Vialidad.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3.-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Esta norma básica es de aplicación en todos aquéllos puntos de las rutas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provinciales con travesías urbanas, donde sea necesaria la instalación de reductores de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velocidad. A los fines de la presente Ley se define travesía urbana a la carretera que pasa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por un núcleo de población.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CAPÍTULO II</w:t>
      </w: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4.-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Para el control de velocidad y otras infracciones establecidas en la Ley</w:t>
      </w:r>
      <w:r w:rsidR="00504FAD">
        <w:rPr>
          <w:rFonts w:ascii="Times New Roman" w:hAnsi="Times New Roman" w:cs="Times New Roman"/>
          <w:sz w:val="24"/>
          <w:szCs w:val="24"/>
        </w:rPr>
        <w:t xml:space="preserve"> XVIII - N</w:t>
      </w:r>
      <w:r w:rsidRPr="00C03F0D">
        <w:rPr>
          <w:rFonts w:ascii="Times New Roman" w:hAnsi="Times New Roman" w:cs="Times New Roman"/>
          <w:sz w:val="24"/>
          <w:szCs w:val="24"/>
        </w:rPr>
        <w:t>° 29 (Antes Ley 4511) y sus Anexos, en rutas nacionales o provinciales,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caminos, autopistas, autovías o </w:t>
      </w:r>
      <w:proofErr w:type="spellStart"/>
      <w:r w:rsidRPr="00C03F0D">
        <w:rPr>
          <w:rFonts w:ascii="Times New Roman" w:hAnsi="Times New Roman" w:cs="Times New Roman"/>
          <w:sz w:val="24"/>
          <w:szCs w:val="24"/>
        </w:rPr>
        <w:t>semiautopistas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>, en zonas urbanas o rurales, se puede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implementar la instalación y uso de sistemas de control inteligente de infracciones,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consistentes en instrumentos cinemómetros y otros equipos o sistemas automáticos 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semiautomáticos o manuales, fotográficos o no, fijos o móviles, cuya información no puede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ser alterada manualmente.</w:t>
      </w:r>
    </w:p>
    <w:p w:rsidR="00504FAD" w:rsidRPr="00C03F0D" w:rsidRDefault="00504FA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Todo instrumento o sistema a utilizar en tal sentido, debe ser homologado por los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organismos nacionales o provinciales con competencia en el área, conforme lo determina la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reglamentación vigente.</w:t>
      </w:r>
    </w:p>
    <w:p w:rsidR="00504FAD" w:rsidRPr="00C03F0D" w:rsidRDefault="00504FA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4FA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lastRenderedPageBreak/>
        <w:t>Las autoridades municipales deben adherirse previamente a la presente Ley para contar con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la autorización del Ministerio de Gobierno para la instalación y uso de sistemas de control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inteligente de infracciones en los términos del presente artículo.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Se pueden utilizar reductores de velocidad tipo lomo de burro o retardos del tipo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denominado </w:t>
      </w:r>
      <w:proofErr w:type="spellStart"/>
      <w:r w:rsidRPr="00504FAD">
        <w:rPr>
          <w:rFonts w:ascii="Times New Roman" w:hAnsi="Times New Roman" w:cs="Times New Roman"/>
          <w:i/>
          <w:sz w:val="24"/>
          <w:szCs w:val="24"/>
        </w:rPr>
        <w:t>hump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 xml:space="preserve"> que se colocan y construyen de acuerdo a las especificaciones técnicas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dispuestas en la presente Ley.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5.-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Los reductores de velocidad se ubican en los cruces peligrosos de las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travesías urbanas que no cuenten con semáforos. Las autoridades competentes de la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jurisdicción proceden a instalar controlador de velocidad tipo electrónico con sistema tutor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o radares tipo láser o controladores de velocidad pasivos tipo tótem. Estos se ubican al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ingreso de la travesía urbana y al egreso de la misma.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4FA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 xml:space="preserve">ARTÍCULO 6.- </w:t>
      </w:r>
      <w:r w:rsidRPr="00C03F0D">
        <w:rPr>
          <w:rFonts w:ascii="Times New Roman" w:hAnsi="Times New Roman" w:cs="Times New Roman"/>
          <w:sz w:val="24"/>
          <w:szCs w:val="24"/>
        </w:rPr>
        <w:t>Se pueden instalar sistemas de reductor físico de velocidad denominado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meseta </w:t>
      </w:r>
      <w:r w:rsidRPr="00504F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04FAD">
        <w:rPr>
          <w:rFonts w:ascii="Times New Roman" w:hAnsi="Times New Roman" w:cs="Times New Roman"/>
          <w:i/>
          <w:sz w:val="24"/>
          <w:szCs w:val="24"/>
        </w:rPr>
        <w:t>hump</w:t>
      </w:r>
      <w:proofErr w:type="spellEnd"/>
      <w:r w:rsidRPr="00504FAD">
        <w:rPr>
          <w:rFonts w:ascii="Times New Roman" w:hAnsi="Times New Roman" w:cs="Times New Roman"/>
          <w:i/>
          <w:sz w:val="24"/>
          <w:szCs w:val="24"/>
        </w:rPr>
        <w:t>),</w:t>
      </w:r>
      <w:r w:rsidRPr="00C03F0D">
        <w:rPr>
          <w:rFonts w:ascii="Times New Roman" w:hAnsi="Times New Roman" w:cs="Times New Roman"/>
          <w:sz w:val="24"/>
          <w:szCs w:val="24"/>
        </w:rPr>
        <w:t xml:space="preserve"> en forma transversal al desplazamiento de vehículos, el cual se debe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materializar con una elevación, respecto a la rasante del camino, no mayor de cinco (5)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centímetros y una longitud total de cuatro (4) metros, siendo la superficie corrugada de dos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(2) metros de ancho y explanadas ascendentes y descendentes de un (1) metro cada una,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que abarca todo el ancho de la calzada y en cantidad que sea necesaria; previo a la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utilización de dicho artificio se coloca a una distancia de cinco (5) metros, una línea de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frenado de cuarenta (40) centímetros de ancho, pintada de color blanco, a los efectos que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los conductores aminoren la velocidad antes de llegar al cruce. Esta meseta esta demarcada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con líneas blancas y amarillas tipo cebrada, la pintura a utilizar es de tipo reflectante, la que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recibe el mantenimiento adecuado para no perder el impacto visual previsto en la presente.</w:t>
      </w:r>
    </w:p>
    <w:p w:rsidR="00504FAD" w:rsidRDefault="00504FA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4FA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Los reductores se colocan, a una distancia de trescientos (300) metros de la señalización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que indique la advertencia de ingreso a zona de reductores de velocidad, además de los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indicadores verticales (carteles), despertadores/sonorizadores en todo el ancho de la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calzada. Asimismo, en la zona de instalación de dichos reductores, se procede a la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correspondiente señalización mediante placas montadas sobre un pie, con el </w:t>
      </w:r>
      <w:proofErr w:type="spellStart"/>
      <w:r w:rsidRPr="00C03F0D">
        <w:rPr>
          <w:rFonts w:ascii="Times New Roman" w:hAnsi="Times New Roman" w:cs="Times New Roman"/>
          <w:sz w:val="24"/>
          <w:szCs w:val="24"/>
        </w:rPr>
        <w:t>isotipo</w:t>
      </w:r>
      <w:proofErr w:type="spellEnd"/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correspondiente sobre un fondo amarillo reflectante, colocadas con relación al recurso y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con anticipación de ciento cincuenta (150) metros en áreas urbanas, y una en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correspondencia con la meseta, con el alumbrado pertinente en el lugar.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AD" w:rsidRDefault="00504FA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lastRenderedPageBreak/>
        <w:t>Estos artificios se sitúan previos a las sendas peatonales, se encuentren o no señalizadas, 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una distancia de cinco (5) metros.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CAPÍTULO III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7.-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No pueden instalarse reductores de velocidad, s</w:t>
      </w:r>
      <w:r w:rsidR="00504FAD">
        <w:rPr>
          <w:rFonts w:ascii="Times New Roman" w:hAnsi="Times New Roman" w:cs="Times New Roman"/>
          <w:sz w:val="24"/>
          <w:szCs w:val="24"/>
        </w:rPr>
        <w:t>alvo justificación técnica, en los siguientes casos: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1) en los tramos de ruta que no tienen consideración de travesía. En travesías cuya longitud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es menor a doscientos (200) metros;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2) en los tramos de travesías con pendiente superior al cinco por ciento (5%);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3) en las proximidades de las intersecciones no se colocan reductores de velocidad tipo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lomo </w:t>
      </w:r>
      <w:proofErr w:type="spellStart"/>
      <w:r w:rsidRPr="00504FAD">
        <w:rPr>
          <w:rFonts w:ascii="Times New Roman" w:hAnsi="Times New Roman" w:cs="Times New Roman"/>
          <w:i/>
          <w:sz w:val="24"/>
          <w:szCs w:val="24"/>
        </w:rPr>
        <w:t>hump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 xml:space="preserve"> para evitar que los peatones los confundan con pasos peatonales. En este caso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solo pueden ser utilizados los reductores de velocidad tipo trapezoidal, siempre que existan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pasos de peatones.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8.-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Queda prohibido, en todo el ámbito de aplicación de la presente Ley, la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utilización de reductores de velocidad denominados lomo de burro del tipo </w:t>
      </w:r>
      <w:proofErr w:type="spellStart"/>
      <w:r w:rsidRPr="00504FAD">
        <w:rPr>
          <w:rFonts w:ascii="Times New Roman" w:hAnsi="Times New Roman" w:cs="Times New Roman"/>
          <w:i/>
          <w:sz w:val="24"/>
          <w:szCs w:val="24"/>
        </w:rPr>
        <w:t>bump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>. Con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respecto a los existentes, la Autoridad de Aplicación dispone su adecuación conforme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incisos 1) y 2) del Artículo 7, en forma general.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9.-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No se permite la utilización de barras transversales o resaltos en las rutas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provinciales, las mismas solo pueden utilizarse en estacionamientos.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10.-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Queda prohibido el uso de </w:t>
      </w:r>
      <w:proofErr w:type="spellStart"/>
      <w:r w:rsidRPr="00C03F0D">
        <w:rPr>
          <w:rFonts w:ascii="Times New Roman" w:hAnsi="Times New Roman" w:cs="Times New Roman"/>
          <w:sz w:val="24"/>
          <w:szCs w:val="24"/>
        </w:rPr>
        <w:t>tortugones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 xml:space="preserve"> o tachas como elementos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reductores de velocidad, éstos únicamente pueden ser utilizados como separadores de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carriles. Los mismos son de hormigón de diecisiete (17) centímetros de ancho y seis (6)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centímetros de altura, se ubican en el eje central de la calzada y a lo largo de la travesía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 xml:space="preserve">pintada con pintura </w:t>
      </w:r>
      <w:proofErr w:type="spellStart"/>
      <w:r w:rsidRPr="00C03F0D">
        <w:rPr>
          <w:rFonts w:ascii="Times New Roman" w:hAnsi="Times New Roman" w:cs="Times New Roman"/>
          <w:sz w:val="24"/>
          <w:szCs w:val="24"/>
        </w:rPr>
        <w:t>retroreflactaria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>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CAPÍTULO IV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11.-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Los pasos peatonales se construyen elevados (lomos trapezoidales), </w:t>
      </w:r>
      <w:r w:rsidR="00504FAD">
        <w:rPr>
          <w:rFonts w:ascii="Times New Roman" w:hAnsi="Times New Roman" w:cs="Times New Roman"/>
          <w:sz w:val="24"/>
          <w:szCs w:val="24"/>
        </w:rPr>
        <w:t xml:space="preserve">hasta </w:t>
      </w:r>
      <w:r w:rsidRPr="00C03F0D">
        <w:rPr>
          <w:rFonts w:ascii="Times New Roman" w:hAnsi="Times New Roman" w:cs="Times New Roman"/>
          <w:sz w:val="24"/>
          <w:szCs w:val="24"/>
        </w:rPr>
        <w:t>el nivel de la vereda, o ligeramente debajo para proveer un resalto para los ciegos y no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dificultar el cruce con sillas de ruedas o para personas con discapacidad.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lastRenderedPageBreak/>
        <w:t>ARTÍCULO 12.-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Los pasos peatonales </w:t>
      </w:r>
      <w:proofErr w:type="spellStart"/>
      <w:r w:rsidRPr="00C03F0D">
        <w:rPr>
          <w:rFonts w:ascii="Times New Roman" w:hAnsi="Times New Roman" w:cs="Times New Roman"/>
          <w:sz w:val="24"/>
          <w:szCs w:val="24"/>
        </w:rPr>
        <w:t>sobreelevados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 xml:space="preserve"> (reductor trapezoidal) son de las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siguientes dimensiones: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1) altura: diez (10) centímetros pudiendo variar de conformidad a la altura del cordón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cuneta;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2) longitud elevado: cuatro (4) metros, en casos excepcionales se autoriza longitudes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inferiores, hasta un mínimo de dos coma cinco (2,5) metros;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3) longitud de las rampas: entre uno (1) y dos coma cinco (2,5) metros un (l) metro para el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caso que se señalice una velocidad de treinta kilómetros sobre hora (30 Km/h); uno coma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cinco (1,5) metros para velocidades de cuarenta kilómetros sobre hora (40 Km/h) y dos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coma cinco (2,5) para velocidad igual a cincuenta kilómetros sobre hora (50 Km/h);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4) debe preverse el escurrimiento pluvial.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13.-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Los criterios para el uso de los reductores de velocidad se basan en las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siguientes consideraciones fundamentales:</w:t>
      </w: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1) debe efectuarse un estudio previo que incluya medidas alternativas de control antes de su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instalación;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2) el emplazamiento de los reductores debe coordinarse estrechamente con la planimetría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de las calles.</w:t>
      </w:r>
    </w:p>
    <w:p w:rsidR="00504FAD" w:rsidRPr="00C03F0D" w:rsidRDefault="00504FA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F0D">
        <w:rPr>
          <w:rFonts w:ascii="Times New Roman" w:hAnsi="Times New Roman" w:cs="Times New Roman"/>
          <w:sz w:val="24"/>
          <w:szCs w:val="24"/>
        </w:rPr>
        <w:t>Su colocación debe complementarse con una adecuada demarcación y señalización a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distancias que permitan alertar a los conductores con el tiempo suficiente, tal como lo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prevén el segundo y tercer párrafo del Artículo 6.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14.-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A efecto de dar cumplimiento a lo dispuesto en los artículos anteriores se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otorga a los obligados el plazo de un (1) año, a contar de la publicación de la presente Ley,</w:t>
      </w:r>
      <w:r w:rsidR="00504FAD">
        <w:rPr>
          <w:rFonts w:ascii="Times New Roman" w:hAnsi="Times New Roman" w:cs="Times New Roman"/>
          <w:sz w:val="24"/>
          <w:szCs w:val="24"/>
        </w:rPr>
        <w:t xml:space="preserve"> </w:t>
      </w:r>
      <w:r w:rsidRPr="00C03F0D">
        <w:rPr>
          <w:rFonts w:ascii="Times New Roman" w:hAnsi="Times New Roman" w:cs="Times New Roman"/>
          <w:sz w:val="24"/>
          <w:szCs w:val="24"/>
        </w:rPr>
        <w:t>para realizar las adecuaciones que resultan necesarias.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F0D">
        <w:rPr>
          <w:rFonts w:ascii="Times New Roman" w:hAnsi="Times New Roman" w:cs="Times New Roman"/>
          <w:sz w:val="24"/>
          <w:szCs w:val="24"/>
          <w:u w:val="single"/>
        </w:rPr>
        <w:t>CAPÍTULO V</w:t>
      </w:r>
    </w:p>
    <w:p w:rsidR="00C03F0D" w:rsidRPr="00C03F0D" w:rsidRDefault="00C03F0D" w:rsidP="00C03F0D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3F0D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15.-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F0D">
        <w:rPr>
          <w:rFonts w:ascii="Times New Roman" w:hAnsi="Times New Roman" w:cs="Times New Roman"/>
          <w:sz w:val="24"/>
          <w:szCs w:val="24"/>
        </w:rPr>
        <w:t>Invítase</w:t>
      </w:r>
      <w:proofErr w:type="spellEnd"/>
      <w:r w:rsidRPr="00C03F0D">
        <w:rPr>
          <w:rFonts w:ascii="Times New Roman" w:hAnsi="Times New Roman" w:cs="Times New Roman"/>
          <w:sz w:val="24"/>
          <w:szCs w:val="24"/>
        </w:rPr>
        <w:t xml:space="preserve"> a los municipios a adherirse a la presente Ley.</w:t>
      </w:r>
    </w:p>
    <w:p w:rsid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77DC" w:rsidRPr="00C03F0D" w:rsidRDefault="00C03F0D" w:rsidP="00C03F0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sz w:val="24"/>
          <w:szCs w:val="24"/>
          <w:u w:val="single"/>
        </w:rPr>
        <w:t>ARTÍCULO 16.-</w:t>
      </w:r>
      <w:r w:rsidRPr="00C03F0D">
        <w:rPr>
          <w:rFonts w:ascii="Times New Roman" w:hAnsi="Times New Roman" w:cs="Times New Roman"/>
          <w:sz w:val="24"/>
          <w:szCs w:val="24"/>
        </w:rPr>
        <w:t xml:space="preserve"> Comuníquese al Poder Ejecutivo.</w:t>
      </w:r>
    </w:p>
    <w:sectPr w:rsidR="004777DC" w:rsidRPr="00C03F0D" w:rsidSect="00C03F0D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C1" w:rsidRDefault="00EA5FC1" w:rsidP="0070783E">
      <w:r>
        <w:separator/>
      </w:r>
    </w:p>
  </w:endnote>
  <w:endnote w:type="continuationSeparator" w:id="0">
    <w:p w:rsidR="00EA5FC1" w:rsidRDefault="00EA5FC1" w:rsidP="007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C1" w:rsidRDefault="00EA5FC1" w:rsidP="0070783E">
      <w:r>
        <w:separator/>
      </w:r>
    </w:p>
  </w:footnote>
  <w:footnote w:type="continuationSeparator" w:id="0">
    <w:p w:rsidR="00EA5FC1" w:rsidRDefault="00EA5FC1" w:rsidP="0070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3E" w:rsidRDefault="0070783E" w:rsidP="00E33ABD">
    <w:pPr>
      <w:tabs>
        <w:tab w:val="left" w:pos="7088"/>
        <w:tab w:val="left" w:pos="7371"/>
      </w:tabs>
      <w:ind w:left="0" w:right="1327" w:firstLine="0"/>
      <w:rPr>
        <w:b/>
        <w:sz w:val="20"/>
        <w:szCs w:val="20"/>
        <w:u w:val="single"/>
      </w:rPr>
    </w:pPr>
  </w:p>
  <w:p w:rsidR="0070783E" w:rsidRDefault="0070783E" w:rsidP="0070783E">
    <w:pPr>
      <w:rPr>
        <w:b/>
        <w:i/>
        <w:sz w:val="20"/>
        <w:szCs w:val="20"/>
      </w:rPr>
    </w:pPr>
    <w:r>
      <w:rPr>
        <w:b/>
        <w:i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128270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3" name="Imagen 2" descr="Descripción: 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0"/>
        <w:szCs w:val="20"/>
      </w:rPr>
      <w:t xml:space="preserve"> </w:t>
    </w:r>
  </w:p>
  <w:p w:rsidR="0070783E" w:rsidRDefault="0070783E" w:rsidP="0070783E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</w:t>
    </w:r>
  </w:p>
  <w:p w:rsidR="0070783E" w:rsidRDefault="0070783E" w:rsidP="0070783E">
    <w:pPr>
      <w:contextualSpacing/>
      <w:rPr>
        <w:rFonts w:ascii="Freestyle Script" w:hAnsi="Freestyle Script"/>
        <w:sz w:val="36"/>
        <w:szCs w:val="36"/>
      </w:rPr>
    </w:pPr>
  </w:p>
  <w:p w:rsidR="0070783E" w:rsidRDefault="0070783E" w:rsidP="0070783E">
    <w:pPr>
      <w:contextualSpacing/>
      <w:rPr>
        <w:rFonts w:ascii="Freestyle Script" w:hAnsi="Freestyle Script"/>
        <w:sz w:val="36"/>
        <w:szCs w:val="36"/>
      </w:rPr>
    </w:pPr>
  </w:p>
  <w:p w:rsidR="0070783E" w:rsidRDefault="0070783E" w:rsidP="0070783E">
    <w:pPr>
      <w:ind w:left="0" w:firstLine="0"/>
      <w:contextualSpacing/>
      <w:jc w:val="left"/>
      <w:rPr>
        <w:rFonts w:ascii="Freestyle Script" w:hAnsi="Freestyle Script"/>
        <w:sz w:val="36"/>
        <w:szCs w:val="36"/>
      </w:rPr>
    </w:pPr>
  </w:p>
  <w:p w:rsidR="0070783E" w:rsidRPr="00F61435" w:rsidRDefault="0070783E" w:rsidP="0070783E">
    <w:pPr>
      <w:ind w:left="0" w:firstLine="0"/>
      <w:contextualSpacing/>
      <w:jc w:val="left"/>
      <w:rPr>
        <w:b/>
        <w:i/>
        <w:sz w:val="20"/>
        <w:szCs w:val="20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70783E" w:rsidRDefault="0070783E" w:rsidP="0070783E">
    <w:pPr>
      <w:ind w:left="0" w:firstLine="0"/>
      <w:contextualSpacing/>
      <w:jc w:val="left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70783E" w:rsidRPr="00F61435" w:rsidRDefault="0070783E" w:rsidP="0070783E">
    <w:pPr>
      <w:ind w:left="0" w:firstLine="0"/>
      <w:contextualSpacing/>
      <w:jc w:val="left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=========</w:t>
    </w:r>
  </w:p>
  <w:p w:rsidR="0070783E" w:rsidRDefault="007078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D"/>
    <w:rsid w:val="00271DCB"/>
    <w:rsid w:val="004777DC"/>
    <w:rsid w:val="00504FAD"/>
    <w:rsid w:val="00584B23"/>
    <w:rsid w:val="005F4A01"/>
    <w:rsid w:val="0070783E"/>
    <w:rsid w:val="009B18F3"/>
    <w:rsid w:val="00C03F0D"/>
    <w:rsid w:val="00D845EA"/>
    <w:rsid w:val="00E33ABD"/>
    <w:rsid w:val="00E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902" w:firstLine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78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783E"/>
  </w:style>
  <w:style w:type="paragraph" w:styleId="Piedepgina">
    <w:name w:val="footer"/>
    <w:basedOn w:val="Normal"/>
    <w:link w:val="PiedepginaCar"/>
    <w:uiPriority w:val="99"/>
    <w:semiHidden/>
    <w:unhideWhenUsed/>
    <w:rsid w:val="007078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902" w:firstLine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78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783E"/>
  </w:style>
  <w:style w:type="paragraph" w:styleId="Piedepgina">
    <w:name w:val="footer"/>
    <w:basedOn w:val="Normal"/>
    <w:link w:val="PiedepginaCar"/>
    <w:uiPriority w:val="99"/>
    <w:semiHidden/>
    <w:unhideWhenUsed/>
    <w:rsid w:val="007078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 2</dc:creator>
  <cp:lastModifiedBy>Luffi</cp:lastModifiedBy>
  <cp:revision>2</cp:revision>
  <dcterms:created xsi:type="dcterms:W3CDTF">2019-05-23T14:14:00Z</dcterms:created>
  <dcterms:modified xsi:type="dcterms:W3CDTF">2019-05-23T14:14:00Z</dcterms:modified>
</cp:coreProperties>
</file>